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Глег+ печенья+ кружка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Материалы: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Сок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Вода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Сахар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корица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гвоздика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апельсин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кардамон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имбирь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кастрюля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изюм/ миндаль - по желанию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печенья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глазурь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кружка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кисти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краски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 Основа: 1 л красного сока (виноградный/вишнёвый) + 0,5 л воды + 200 г сахара в кастрюле.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 Пряности: Добавить 2 палочки корицы, 10 гвоздик, кожуру 1 апельсина, 8 зёрен кардамона, ломтик имбиря.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 Нагреть: Довести до лёгкого кипения, но не кипятить.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 Настоять: Снять с огня, накрыть крышкой и дать настояться минимум 1 час.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 Процедить: Убрать все пряности и кожуру.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  Подача: Подогреть основу. В кружки положить по ложке изюма и миндаля (по желанию), налить глёг.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Печенья: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Придумайте эскиз для вашего печенья (дед мороз, красивая звездочка и так далее).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Возьмите печенье и аккуратно нанесите на него глазурь, которая будет основным цветом.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Распределите ее зубочисткой.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Создайте рисунок зубочисткой.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Оставьте сушиться.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Кружка: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Придумайте или подберите цвета для будущей кружки.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Придумайте дизайн/эскиз.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Раскрасьте кружку по эскизу.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Оставьте сохнуть.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