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Салат «Норвежский» + тарелочка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Материалы: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• Рис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• Морковь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• Лук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• Огурец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• Лимон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• Тунец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• Майонез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• Тарелка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• Краски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• Кисти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1. Варим рис как обычно.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2. Обжариваем морковь 8 минут.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3. Режем огурец и лук. Лук можно замариновать в соке лимона.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4. Тунец размять вилкой.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5. Раскладываем по слоям наш салат. • Рис - Майонез. - Тунец и лук. - Майонез. - Морковь. - Майонез.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6. Просаливать и перчить слои.Сверху огурец соломкой. Без майонеза.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Тарелка: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1. Придумайте или подберите цвета для будущей тарелки.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2. Придумайте дизайн/эскиз.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3. Раскрасьте тарелку по эскизу.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